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kern w:val="0"/>
          <w:sz w:val="36"/>
          <w:szCs w:val="36"/>
          <w:lang w:val="en-US" w:eastAsia="zh-CN"/>
        </w:rPr>
      </w:pPr>
      <w:r>
        <w:rPr>
          <w:rFonts w:hint="eastAsia" w:ascii="仿宋" w:hAnsi="仿宋" w:eastAsia="仿宋" w:cs="仿宋"/>
          <w:b/>
          <w:bCs/>
          <w:kern w:val="0"/>
          <w:sz w:val="36"/>
          <w:szCs w:val="36"/>
          <w:lang w:val="en-US" w:eastAsia="zh-CN"/>
        </w:rPr>
        <w:t>针灸手法模拟考评系统</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基本配置</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1、主机平台一台：钢制材料，长75cm 宽50cm高120cm，重量15KG</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2、显示平台：15寸液晶屏</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3、操作系统：WINDOWS</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5、教师机内置嵌入式打印机1台</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技术指标</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发射天线：1个</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频率范围：433±5，驻波比V.S.W.R：≤1.5</w:t>
      </w:r>
      <w:bookmarkStart w:id="0" w:name="_GoBack"/>
      <w:bookmarkEnd w:id="0"/>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输入阻抗：50欧姆</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最大功率：10W</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10、输入电压：220V</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功能描述</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1、以三维波形形式记录手法操作时的频率、力度、离散度，波形光滑、振幅一致。</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2、针刺手法实时模拟学习，师生手法参数比较。</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3、手法考试及智能评分功能。评分模块是根据评分参数组成及其与总分数各比例和参考手法的参值利用软件内的计算模块计算出最终成绩。</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4、产品通过无线网络用一台教师机和其它若干台学生机进行联网。共有联机和单机两种工作状态和联网、训练、考试三种工作模式，联机时，教师机可以监控学生机，发送指令到学生机上进行教学或考试，考试结束后，学生机能够把考试结果传送到教师机上，同时显示成绩。</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5、内有专家参考手法（可根据教学需要随时增减手法）。</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注：专家参考手法名称：捻转补法、捻转泻法、平补平泻法、提插补法、提插泻法、烧山火、透天凉。</w:t>
      </w:r>
    </w:p>
    <w:p>
      <w:pPr>
        <w:numPr>
          <w:ilvl w:val="0"/>
          <w:numId w:val="0"/>
        </w:numPr>
        <w:jc w:val="left"/>
        <w:rPr>
          <w:rFonts w:hint="eastAsia" w:ascii="仿宋" w:hAnsi="仿宋" w:eastAsia="仿宋" w:cs="仿宋"/>
          <w:kern w:val="0"/>
          <w:sz w:val="28"/>
          <w:szCs w:val="28"/>
        </w:rPr>
      </w:pPr>
      <w:r>
        <w:rPr>
          <w:rFonts w:hint="eastAsia" w:ascii="仿宋" w:hAnsi="仿宋" w:eastAsia="仿宋" w:cs="仿宋"/>
          <w:kern w:val="0"/>
          <w:sz w:val="28"/>
          <w:szCs w:val="28"/>
        </w:rPr>
        <w:t>6、各项主要功能选择操作简便易行，只需鼠标即可完成。</w:t>
      </w:r>
    </w:p>
    <w:p>
      <w:pPr>
        <w:rPr>
          <w:sz w:val="22"/>
          <w:szCs w:val="28"/>
        </w:rPr>
      </w:pPr>
      <w:r>
        <w:rPr>
          <w:rFonts w:hint="eastAsia" w:ascii="仿宋" w:hAnsi="仿宋" w:eastAsia="仿宋" w:cs="仿宋"/>
          <w:kern w:val="0"/>
          <w:sz w:val="28"/>
          <w:szCs w:val="28"/>
        </w:rPr>
        <w:t>7、教师机可以打印各学生机的考试成绩。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NTk0MjlmODYyOTBjMGIwYjFiZmVkZWRmNWZlYWYifQ=="/>
  </w:docVars>
  <w:rsids>
    <w:rsidRoot w:val="02B77999"/>
    <w:rsid w:val="02B77999"/>
    <w:rsid w:val="602504EF"/>
    <w:rsid w:val="6BF7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2024-04-01T00:17:00Z</dcterms:created>
  <dc:creator>安生</dc:creator>
  <cp:lastModifiedBy>安生</cp:lastModifiedBy>
  <dcterms:modified xsi:type="dcterms:W3CDTF">2024-04-03T06:42:46Z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C9E3A2FBC0764D2AB2107F897F3DA100_11</vt:lpwstr>
  </property>
</Properties>
</file>